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77C2B" w14:textId="3FD1EADD" w:rsidR="007C7D0B" w:rsidRPr="007C7D0B" w:rsidRDefault="007C7D0B" w:rsidP="004833DB">
      <w:pPr>
        <w:ind w:left="1276" w:right="1160"/>
        <w:jc w:val="both"/>
        <w:rPr>
          <w:rFonts w:ascii="Aptos" w:hAnsi="Aptos" w:cstheme="minorHAnsi"/>
          <w:b/>
          <w:bCs/>
        </w:rPr>
      </w:pPr>
      <w:r w:rsidRPr="007C7D0B">
        <w:rPr>
          <w:rFonts w:ascii="Aptos" w:hAnsi="Aptos" w:cstheme="minorHAnsi"/>
          <w:b/>
          <w:bCs/>
        </w:rPr>
        <w:t xml:space="preserve">Subject: Comment letter on Exposure Draft IASB/ED/2025/1 </w:t>
      </w:r>
      <w:r>
        <w:rPr>
          <w:rFonts w:ascii="Aptos" w:hAnsi="Aptos" w:cstheme="minorHAnsi"/>
          <w:b/>
          <w:bCs/>
        </w:rPr>
        <w:t>-</w:t>
      </w:r>
      <w:r w:rsidRPr="007C7D0B">
        <w:rPr>
          <w:rFonts w:ascii="Aptos" w:hAnsi="Aptos" w:cstheme="minorHAnsi"/>
          <w:b/>
          <w:bCs/>
        </w:rPr>
        <w:t xml:space="preserve"> Risk Mitigation Accounting: Proposed amendments to IFRS 9 and IFRS 7 (December 2025)</w:t>
      </w:r>
    </w:p>
    <w:p w14:paraId="5AC639DE" w14:textId="77777777" w:rsidR="007C7D0B" w:rsidRPr="007C7D0B" w:rsidRDefault="007C7D0B" w:rsidP="004833DB">
      <w:pPr>
        <w:ind w:left="993" w:right="1160"/>
        <w:jc w:val="both"/>
        <w:rPr>
          <w:rFonts w:ascii="Aptos" w:hAnsi="Aptos" w:cstheme="minorHAnsi"/>
        </w:rPr>
      </w:pPr>
    </w:p>
    <w:p w14:paraId="4F07CA57" w14:textId="7977EBAC" w:rsidR="007C7D0B" w:rsidRPr="007C7D0B" w:rsidRDefault="007C7D0B" w:rsidP="004833DB">
      <w:pPr>
        <w:ind w:left="993" w:right="1160"/>
        <w:jc w:val="both"/>
        <w:rPr>
          <w:rFonts w:ascii="Aptos" w:hAnsi="Aptos" w:cstheme="minorHAnsi"/>
        </w:rPr>
      </w:pPr>
      <w:r w:rsidRPr="007C7D0B">
        <w:rPr>
          <w:rFonts w:ascii="Aptos" w:hAnsi="Aptos" w:cstheme="minorHAnsi"/>
          <w:b/>
          <w:bCs/>
        </w:rPr>
        <w:t xml:space="preserve">Q1 </w:t>
      </w:r>
      <w:r>
        <w:rPr>
          <w:rFonts w:ascii="Aptos" w:hAnsi="Aptos" w:cstheme="minorHAnsi"/>
          <w:b/>
          <w:bCs/>
        </w:rPr>
        <w:t>-</w:t>
      </w:r>
      <w:r w:rsidRPr="007C7D0B">
        <w:rPr>
          <w:rFonts w:ascii="Aptos" w:hAnsi="Aptos" w:cstheme="minorHAnsi"/>
          <w:b/>
          <w:bCs/>
        </w:rPr>
        <w:t xml:space="preserve"> Objective and scope (Section 7.1)</w:t>
      </w:r>
    </w:p>
    <w:p w14:paraId="78EA3C3A" w14:textId="4D96C824" w:rsidR="007C7D0B" w:rsidRPr="007C7D0B" w:rsidRDefault="007C7D0B" w:rsidP="003C54D5">
      <w:pPr>
        <w:ind w:left="1418" w:right="1160"/>
        <w:jc w:val="both"/>
        <w:rPr>
          <w:rFonts w:ascii="Aptos" w:hAnsi="Aptos" w:cstheme="minorHAnsi"/>
        </w:rPr>
      </w:pPr>
      <w:r w:rsidRPr="007C7D0B">
        <w:rPr>
          <w:rFonts w:ascii="Aptos" w:hAnsi="Aptos" w:cstheme="minorHAnsi"/>
          <w:b/>
          <w:bCs/>
        </w:rPr>
        <w:t>Response</w:t>
      </w:r>
      <w:r w:rsidRPr="007C7D0B">
        <w:rPr>
          <w:rFonts w:ascii="Aptos" w:hAnsi="Aptos" w:cstheme="minorHAnsi"/>
        </w:rPr>
        <w:t>: Agree, subject to clarifications.</w:t>
      </w:r>
    </w:p>
    <w:p w14:paraId="0E753AE5" w14:textId="77777777" w:rsidR="004833DB" w:rsidRDefault="004833DB" w:rsidP="003C54D5">
      <w:pPr>
        <w:numPr>
          <w:ilvl w:val="0"/>
          <w:numId w:val="2"/>
        </w:numPr>
        <w:tabs>
          <w:tab w:val="clear" w:pos="720"/>
        </w:tabs>
        <w:ind w:left="1418" w:right="1160"/>
        <w:jc w:val="both"/>
        <w:rPr>
          <w:rFonts w:ascii="Aptos" w:hAnsi="Aptos" w:cstheme="minorHAnsi"/>
        </w:rPr>
      </w:pPr>
      <w:r w:rsidRPr="004833DB">
        <w:rPr>
          <w:rFonts w:ascii="Aptos" w:hAnsi="Aptos" w:cstheme="minorHAnsi"/>
        </w:rPr>
        <w:t>The objective in paragraph 7.1.3 is appropriate. The key improvement is that the accounting is based on how the entity actually manages repricing risk on a net basis.</w:t>
      </w:r>
    </w:p>
    <w:p w14:paraId="49435CE8" w14:textId="33CC5CC5" w:rsidR="007C7D0B" w:rsidRPr="007C7D0B" w:rsidRDefault="004833DB" w:rsidP="003C54D5">
      <w:pPr>
        <w:numPr>
          <w:ilvl w:val="0"/>
          <w:numId w:val="2"/>
        </w:numPr>
        <w:tabs>
          <w:tab w:val="clear" w:pos="720"/>
        </w:tabs>
        <w:ind w:left="1418" w:right="1160"/>
        <w:jc w:val="both"/>
        <w:rPr>
          <w:rFonts w:ascii="Aptos" w:hAnsi="Aptos" w:cstheme="minorHAnsi"/>
        </w:rPr>
      </w:pPr>
      <w:r w:rsidRPr="004833DB">
        <w:rPr>
          <w:rFonts w:ascii="Aptos" w:hAnsi="Aptos" w:cstheme="minorHAnsi"/>
        </w:rPr>
        <w:t>Voluntary application under paragraph 7.1.5 is appropriate because mandatory application could create excessive system costs. However, it may affect comparability, as two banks with similar economic positions may present their financial statements differently. Therefore, the disclosure required for non-applying entities under IFRS 7 paragraph 33A is important and should be considered an essential part of the model, not merely an additional disclosure.</w:t>
      </w:r>
    </w:p>
    <w:p w14:paraId="384FFDC2" w14:textId="704ADAD2" w:rsidR="007C7D0B" w:rsidRPr="007C7D0B" w:rsidRDefault="004833DB" w:rsidP="003C54D5">
      <w:pPr>
        <w:numPr>
          <w:ilvl w:val="0"/>
          <w:numId w:val="2"/>
        </w:numPr>
        <w:tabs>
          <w:tab w:val="clear" w:pos="720"/>
        </w:tabs>
        <w:ind w:left="1418" w:right="1160"/>
        <w:jc w:val="both"/>
        <w:rPr>
          <w:rFonts w:ascii="Aptos" w:hAnsi="Aptos" w:cstheme="minorHAnsi"/>
        </w:rPr>
      </w:pPr>
      <w:r w:rsidRPr="004833DB">
        <w:rPr>
          <w:rFonts w:ascii="Aptos" w:hAnsi="Aptos" w:cstheme="minorHAnsi"/>
        </w:rPr>
        <w:t>Formal documentation under paragraph 7.1.7 is important because it makes the model auditable, and therefore I support it. The clarification in paragraph B7.1.9 should be retained, as it confirms that documentation relates to processes and controls, not to pre-committed activities. Without this clarification, the requirement may become difficult for smaller or less formal entities to apply.</w:t>
      </w:r>
    </w:p>
    <w:p w14:paraId="6FC6CE45" w14:textId="72D558A4" w:rsidR="007C7D0B" w:rsidRPr="007C7D0B" w:rsidRDefault="002C7FAF" w:rsidP="003C54D5">
      <w:pPr>
        <w:numPr>
          <w:ilvl w:val="0"/>
          <w:numId w:val="2"/>
        </w:numPr>
        <w:tabs>
          <w:tab w:val="clear" w:pos="720"/>
        </w:tabs>
        <w:ind w:left="1418" w:right="1160"/>
        <w:jc w:val="both"/>
        <w:rPr>
          <w:rFonts w:ascii="Aptos" w:hAnsi="Aptos" w:cstheme="minorHAnsi"/>
        </w:rPr>
      </w:pPr>
      <w:r w:rsidRPr="002C7FAF">
        <w:rPr>
          <w:rFonts w:ascii="Aptos" w:hAnsi="Aptos" w:cstheme="minorHAnsi"/>
        </w:rPr>
        <w:t>Eligibility under paragraph 7.1.4 is principle-based and requires judgment. Therefore, the standard should include examples of strategies that qualify and strategies that do not qualify. These examples should also cover entities with less formal asset-liability management functions, so that smaller or less structured entities can apply the requirement consistently.</w:t>
      </w:r>
    </w:p>
    <w:p w14:paraId="38E42241" w14:textId="7D2283D4" w:rsidR="007C7D0B" w:rsidRPr="007C7D0B" w:rsidRDefault="007C7D0B" w:rsidP="004833DB">
      <w:pPr>
        <w:ind w:left="1276" w:right="1160"/>
        <w:jc w:val="both"/>
        <w:rPr>
          <w:rFonts w:ascii="Aptos" w:hAnsi="Aptos" w:cstheme="minorHAnsi"/>
        </w:rPr>
      </w:pPr>
    </w:p>
    <w:p w14:paraId="2302F4C0" w14:textId="09499E4A" w:rsidR="007C7D0B" w:rsidRPr="007C7D0B" w:rsidRDefault="007C7D0B" w:rsidP="004833DB">
      <w:pPr>
        <w:ind w:left="993" w:right="1160"/>
        <w:jc w:val="both"/>
        <w:rPr>
          <w:rFonts w:ascii="Aptos" w:hAnsi="Aptos" w:cstheme="minorHAnsi"/>
        </w:rPr>
      </w:pPr>
      <w:r w:rsidRPr="007C7D0B">
        <w:rPr>
          <w:rFonts w:ascii="Aptos" w:hAnsi="Aptos" w:cstheme="minorHAnsi"/>
          <w:b/>
          <w:bCs/>
        </w:rPr>
        <w:t xml:space="preserve">Q2 </w:t>
      </w:r>
      <w:r>
        <w:rPr>
          <w:rFonts w:ascii="Aptos" w:hAnsi="Aptos" w:cstheme="minorHAnsi"/>
          <w:b/>
          <w:bCs/>
        </w:rPr>
        <w:t>-</w:t>
      </w:r>
      <w:r w:rsidRPr="007C7D0B">
        <w:rPr>
          <w:rFonts w:ascii="Aptos" w:hAnsi="Aptos" w:cstheme="minorHAnsi"/>
          <w:b/>
          <w:bCs/>
        </w:rPr>
        <w:t xml:space="preserve"> Underlying portfolios (paragraphs 7.2.1</w:t>
      </w:r>
      <w:r>
        <w:rPr>
          <w:rFonts w:ascii="Aptos" w:hAnsi="Aptos" w:cstheme="minorHAnsi"/>
          <w:b/>
          <w:bCs/>
        </w:rPr>
        <w:t>-</w:t>
      </w:r>
      <w:r w:rsidRPr="007C7D0B">
        <w:rPr>
          <w:rFonts w:ascii="Aptos" w:hAnsi="Aptos" w:cstheme="minorHAnsi"/>
          <w:b/>
          <w:bCs/>
        </w:rPr>
        <w:t>7.2.4)</w:t>
      </w:r>
    </w:p>
    <w:p w14:paraId="43743B1F" w14:textId="23955AAF" w:rsidR="007C7D0B" w:rsidRPr="007C7D0B" w:rsidRDefault="007C7D0B" w:rsidP="006B1C72">
      <w:pPr>
        <w:ind w:left="1418" w:right="1160"/>
        <w:jc w:val="both"/>
        <w:rPr>
          <w:rFonts w:ascii="Aptos" w:hAnsi="Aptos" w:cstheme="minorHAnsi"/>
        </w:rPr>
      </w:pPr>
      <w:r w:rsidRPr="007C7D0B">
        <w:rPr>
          <w:rFonts w:ascii="Aptos" w:hAnsi="Aptos" w:cstheme="minorHAnsi"/>
          <w:b/>
          <w:bCs/>
        </w:rPr>
        <w:t>Response</w:t>
      </w:r>
      <w:r w:rsidRPr="007C7D0B">
        <w:rPr>
          <w:rFonts w:ascii="Aptos" w:hAnsi="Aptos" w:cstheme="minorHAnsi"/>
          <w:b/>
          <w:bCs/>
        </w:rPr>
        <w:t>:</w:t>
      </w:r>
      <w:r w:rsidRPr="007C7D0B">
        <w:rPr>
          <w:rFonts w:ascii="Aptos" w:hAnsi="Aptos" w:cstheme="minorHAnsi"/>
        </w:rPr>
        <w:t xml:space="preserve"> Agree.</w:t>
      </w:r>
    </w:p>
    <w:p w14:paraId="5D0CF824" w14:textId="2BA9CADC" w:rsidR="007C7D0B" w:rsidRPr="007C7D0B" w:rsidRDefault="007C7D0B" w:rsidP="003C54D5">
      <w:pPr>
        <w:numPr>
          <w:ilvl w:val="0"/>
          <w:numId w:val="3"/>
        </w:numPr>
        <w:ind w:left="1418" w:right="1160"/>
        <w:jc w:val="both"/>
        <w:rPr>
          <w:rFonts w:ascii="Aptos" w:hAnsi="Aptos" w:cstheme="minorHAnsi"/>
        </w:rPr>
      </w:pPr>
      <w:r w:rsidRPr="007C7D0B">
        <w:rPr>
          <w:rFonts w:ascii="Aptos" w:hAnsi="Aptos" w:cstheme="minorHAnsi"/>
        </w:rPr>
        <w:t xml:space="preserve">The amortised-cost / FVOCI boundary (7.2.1) is correct </w:t>
      </w:r>
      <w:r>
        <w:rPr>
          <w:rFonts w:ascii="Aptos" w:hAnsi="Aptos" w:cstheme="minorHAnsi"/>
        </w:rPr>
        <w:t>-</w:t>
      </w:r>
      <w:r w:rsidRPr="007C7D0B">
        <w:rPr>
          <w:rFonts w:ascii="Aptos" w:hAnsi="Aptos" w:cstheme="minorHAnsi"/>
        </w:rPr>
        <w:t xml:space="preserve"> those are the instruments whose measurement creates the mismatch (B7.2.1).</w:t>
      </w:r>
    </w:p>
    <w:p w14:paraId="190B7407" w14:textId="3B93F3D1" w:rsidR="000B16AE" w:rsidRDefault="000B16AE" w:rsidP="003C54D5">
      <w:pPr>
        <w:numPr>
          <w:ilvl w:val="0"/>
          <w:numId w:val="3"/>
        </w:numPr>
        <w:ind w:left="1418" w:right="1160"/>
        <w:jc w:val="both"/>
        <w:rPr>
          <w:rFonts w:ascii="Aptos" w:hAnsi="Aptos" w:cstheme="minorHAnsi"/>
        </w:rPr>
      </w:pPr>
      <w:r w:rsidRPr="000B16AE">
        <w:rPr>
          <w:rFonts w:ascii="Aptos" w:hAnsi="Aptos" w:cstheme="minorHAnsi"/>
        </w:rPr>
        <w:t xml:space="preserve">The “highly probable on a portfolio basis” test is different from the normal cash flow hedge test. Guidance should be added on what evidence is acceptable, such as business plans, origination trends, and </w:t>
      </w:r>
      <w:r w:rsidR="006B1C72">
        <w:rPr>
          <w:rFonts w:ascii="Aptos" w:hAnsi="Aptos" w:cstheme="minorHAnsi"/>
        </w:rPr>
        <w:t xml:space="preserve">Diversified </w:t>
      </w:r>
      <w:r w:rsidRPr="000B16AE">
        <w:rPr>
          <w:rFonts w:ascii="Aptos" w:hAnsi="Aptos" w:cstheme="minorHAnsi"/>
        </w:rPr>
        <w:t>portfolio.</w:t>
      </w:r>
    </w:p>
    <w:p w14:paraId="72D22D47" w14:textId="7B5E5005" w:rsidR="007C7D0B" w:rsidRPr="007C7D0B" w:rsidRDefault="006B1C72" w:rsidP="003C54D5">
      <w:pPr>
        <w:numPr>
          <w:ilvl w:val="0"/>
          <w:numId w:val="3"/>
        </w:numPr>
        <w:ind w:left="1418" w:right="1160"/>
        <w:jc w:val="both"/>
        <w:rPr>
          <w:rFonts w:ascii="Aptos" w:hAnsi="Aptos" w:cstheme="minorHAnsi"/>
        </w:rPr>
      </w:pPr>
      <w:r w:rsidRPr="006B1C72">
        <w:rPr>
          <w:rFonts w:ascii="Aptos" w:hAnsi="Aptos" w:cstheme="minorHAnsi"/>
        </w:rPr>
        <w:t>The requirement that the same risk should not be mitigated twice under paragraph 7.2.2 is appropriate. The inclusion of hedged exposures under paragraphs B7.2.6 to B7.2.8 is also sensible, but it creates a need to track possible double counting. Therefore, the standard should include examples of controls expected where interest rate risk overlaps with another risk.</w:t>
      </w:r>
    </w:p>
    <w:p w14:paraId="5662809D" w14:textId="444EA594" w:rsidR="007C7D0B" w:rsidRPr="007C7D0B" w:rsidRDefault="007C7D0B" w:rsidP="004833DB">
      <w:pPr>
        <w:ind w:left="1276" w:right="1160"/>
        <w:jc w:val="both"/>
        <w:rPr>
          <w:rFonts w:ascii="Aptos" w:hAnsi="Aptos" w:cstheme="minorHAnsi"/>
        </w:rPr>
      </w:pPr>
    </w:p>
    <w:p w14:paraId="1BECDD5B" w14:textId="4DB779F8" w:rsidR="007C7D0B" w:rsidRPr="007C7D0B" w:rsidRDefault="007C7D0B" w:rsidP="004833DB">
      <w:pPr>
        <w:ind w:left="993" w:right="1160"/>
        <w:jc w:val="both"/>
        <w:rPr>
          <w:rFonts w:ascii="Aptos" w:hAnsi="Aptos" w:cstheme="minorHAnsi"/>
        </w:rPr>
      </w:pPr>
      <w:r w:rsidRPr="007C7D0B">
        <w:rPr>
          <w:rFonts w:ascii="Aptos" w:hAnsi="Aptos" w:cstheme="minorHAnsi"/>
          <w:b/>
          <w:bCs/>
        </w:rPr>
        <w:t xml:space="preserve">Q3 </w:t>
      </w:r>
      <w:r>
        <w:rPr>
          <w:rFonts w:ascii="Aptos" w:hAnsi="Aptos" w:cstheme="minorHAnsi"/>
          <w:b/>
          <w:bCs/>
        </w:rPr>
        <w:t>-</w:t>
      </w:r>
      <w:r w:rsidRPr="007C7D0B">
        <w:rPr>
          <w:rFonts w:ascii="Aptos" w:hAnsi="Aptos" w:cstheme="minorHAnsi"/>
          <w:b/>
          <w:bCs/>
        </w:rPr>
        <w:t xml:space="preserve"> Net repricing risk exposure (paragraphs 7.2.5</w:t>
      </w:r>
      <w:r>
        <w:rPr>
          <w:rFonts w:ascii="Aptos" w:hAnsi="Aptos" w:cstheme="minorHAnsi"/>
          <w:b/>
          <w:bCs/>
        </w:rPr>
        <w:t>-</w:t>
      </w:r>
      <w:r w:rsidRPr="007C7D0B">
        <w:rPr>
          <w:rFonts w:ascii="Aptos" w:hAnsi="Aptos" w:cstheme="minorHAnsi"/>
          <w:b/>
          <w:bCs/>
        </w:rPr>
        <w:t>7.2.10)</w:t>
      </w:r>
    </w:p>
    <w:p w14:paraId="68F4A91F" w14:textId="544FD9D0" w:rsidR="006B1C72" w:rsidRDefault="007C7D0B" w:rsidP="006B1C72">
      <w:pPr>
        <w:ind w:left="1418" w:right="1160"/>
        <w:jc w:val="both"/>
        <w:rPr>
          <w:rFonts w:ascii="Aptos" w:hAnsi="Aptos" w:cstheme="minorHAnsi"/>
        </w:rPr>
      </w:pPr>
      <w:r w:rsidRPr="006B1C72">
        <w:rPr>
          <w:rFonts w:ascii="Aptos" w:hAnsi="Aptos" w:cstheme="minorHAnsi"/>
          <w:b/>
          <w:bCs/>
        </w:rPr>
        <w:t>Response</w:t>
      </w:r>
      <w:r w:rsidRPr="006B1C72">
        <w:rPr>
          <w:rFonts w:ascii="Aptos" w:hAnsi="Aptos" w:cstheme="minorHAnsi"/>
          <w:b/>
          <w:bCs/>
        </w:rPr>
        <w:t>:</w:t>
      </w:r>
      <w:r w:rsidR="006B1C72">
        <w:rPr>
          <w:rFonts w:ascii="Aptos" w:hAnsi="Aptos" w:cstheme="minorHAnsi"/>
        </w:rPr>
        <w:t xml:space="preserve"> No Comment </w:t>
      </w:r>
    </w:p>
    <w:p w14:paraId="1A465BC8" w14:textId="1D8A4A83" w:rsidR="007C7D0B" w:rsidRPr="007C7D0B" w:rsidRDefault="007C7D0B" w:rsidP="006B1C72">
      <w:pPr>
        <w:ind w:left="1276" w:right="1160"/>
        <w:jc w:val="both"/>
        <w:rPr>
          <w:rFonts w:ascii="Aptos" w:hAnsi="Aptos" w:cstheme="minorHAnsi"/>
        </w:rPr>
      </w:pPr>
    </w:p>
    <w:p w14:paraId="45E30065" w14:textId="1653EF8D" w:rsidR="007C7D0B" w:rsidRPr="007C7D0B" w:rsidRDefault="007C7D0B" w:rsidP="004833DB">
      <w:pPr>
        <w:ind w:left="993" w:right="1160"/>
        <w:jc w:val="both"/>
        <w:rPr>
          <w:rFonts w:ascii="Aptos" w:hAnsi="Aptos" w:cstheme="minorHAnsi"/>
        </w:rPr>
      </w:pPr>
      <w:r w:rsidRPr="007C7D0B">
        <w:rPr>
          <w:rFonts w:ascii="Aptos" w:hAnsi="Aptos" w:cstheme="minorHAnsi"/>
          <w:b/>
          <w:bCs/>
        </w:rPr>
        <w:t xml:space="preserve">Q4 </w:t>
      </w:r>
      <w:r>
        <w:rPr>
          <w:rFonts w:ascii="Aptos" w:hAnsi="Aptos" w:cstheme="minorHAnsi"/>
          <w:b/>
          <w:bCs/>
        </w:rPr>
        <w:t>-</w:t>
      </w:r>
      <w:r w:rsidRPr="007C7D0B">
        <w:rPr>
          <w:rFonts w:ascii="Aptos" w:hAnsi="Aptos" w:cstheme="minorHAnsi"/>
          <w:b/>
          <w:bCs/>
        </w:rPr>
        <w:t xml:space="preserve"> Designated derivatives (Section 7.3)</w:t>
      </w:r>
    </w:p>
    <w:p w14:paraId="309300CD" w14:textId="2DCF8F12" w:rsidR="007C7D0B" w:rsidRPr="007C7D0B" w:rsidRDefault="007C7D0B" w:rsidP="004833DB">
      <w:pPr>
        <w:ind w:left="993" w:right="1160"/>
        <w:jc w:val="both"/>
        <w:rPr>
          <w:rFonts w:ascii="Aptos" w:hAnsi="Aptos" w:cstheme="minorHAnsi"/>
        </w:rPr>
      </w:pPr>
      <w:r w:rsidRPr="00B86D81">
        <w:rPr>
          <w:rFonts w:ascii="Aptos" w:hAnsi="Aptos" w:cstheme="minorHAnsi"/>
          <w:b/>
          <w:bCs/>
        </w:rPr>
        <w:lastRenderedPageBreak/>
        <w:t>Response</w:t>
      </w:r>
      <w:r w:rsidRPr="00B86D81">
        <w:rPr>
          <w:rFonts w:ascii="Aptos" w:hAnsi="Aptos" w:cstheme="minorHAnsi"/>
          <w:b/>
          <w:bCs/>
        </w:rPr>
        <w:t>:</w:t>
      </w:r>
      <w:r w:rsidRPr="007C7D0B">
        <w:rPr>
          <w:rFonts w:ascii="Aptos" w:hAnsi="Aptos" w:cstheme="minorHAnsi"/>
        </w:rPr>
        <w:t xml:space="preserve"> Agree external-only in consolidated statements.</w:t>
      </w:r>
    </w:p>
    <w:p w14:paraId="129297B6" w14:textId="7A98FC0C" w:rsidR="007C7D0B" w:rsidRPr="007C7D0B" w:rsidRDefault="00B86D81" w:rsidP="003C54D5">
      <w:pPr>
        <w:numPr>
          <w:ilvl w:val="0"/>
          <w:numId w:val="5"/>
        </w:numPr>
        <w:ind w:left="1418" w:right="1160"/>
        <w:jc w:val="both"/>
        <w:rPr>
          <w:rFonts w:ascii="Aptos" w:hAnsi="Aptos" w:cstheme="minorHAnsi"/>
        </w:rPr>
      </w:pPr>
      <w:r w:rsidRPr="00B86D81">
        <w:rPr>
          <w:rFonts w:ascii="Aptos" w:hAnsi="Aptos" w:cstheme="minorHAnsi"/>
        </w:rPr>
        <w:t>I agree that, in consolidated financial statements, only external derivatives should be designated under Section 7.3. This is conceptually correct because internal derivatives are eliminated on consolidation. However, allowing internal derivatives in separate or individual financial statements is also appropriate.</w:t>
      </w:r>
    </w:p>
    <w:p w14:paraId="71425EF3" w14:textId="77777777" w:rsidR="00B86D81" w:rsidRDefault="00B86D81" w:rsidP="003C54D5">
      <w:pPr>
        <w:numPr>
          <w:ilvl w:val="0"/>
          <w:numId w:val="5"/>
        </w:numPr>
        <w:ind w:left="1418" w:right="1160"/>
        <w:jc w:val="both"/>
        <w:rPr>
          <w:rFonts w:ascii="Aptos" w:hAnsi="Aptos" w:cstheme="minorHAnsi"/>
        </w:rPr>
      </w:pPr>
      <w:r w:rsidRPr="00B86D81">
        <w:rPr>
          <w:rFonts w:ascii="Aptos" w:hAnsi="Aptos" w:cstheme="minorHAnsi"/>
        </w:rPr>
        <w:t>The key issue is the centralised treasury model, where risks are transferred internally but external hedges are placed on a net basis. These external hedges may not match internal transfers one-to-one. A worked example should therefore be added to show how external derivatives are identified at consolidated level and reconciled with internally transferred risk.</w:t>
      </w:r>
    </w:p>
    <w:p w14:paraId="7ABF25C2" w14:textId="7E86F8E6" w:rsidR="007C7D0B" w:rsidRDefault="00260E52" w:rsidP="003C54D5">
      <w:pPr>
        <w:ind w:left="1418" w:right="1160"/>
        <w:jc w:val="both"/>
        <w:rPr>
          <w:rFonts w:ascii="Aptos" w:hAnsi="Aptos" w:cstheme="minorHAnsi"/>
        </w:rPr>
      </w:pPr>
      <w:r w:rsidRPr="00260E52">
        <w:rPr>
          <w:rFonts w:ascii="Aptos" w:hAnsi="Aptos" w:cstheme="minorHAnsi"/>
        </w:rPr>
        <w:t>The exclusion of net written options, including the related carve-out under paragraphs 7.3.2(a) and 7.3.3, is appropriate. The exclusion of credit-dominated derivatives under paragraph 7.3.2(b) is also acceptable.</w:t>
      </w:r>
    </w:p>
    <w:p w14:paraId="0B7C1EBA" w14:textId="77777777" w:rsidR="00260E52" w:rsidRPr="007C7D0B" w:rsidRDefault="00260E52" w:rsidP="004833DB">
      <w:pPr>
        <w:ind w:left="1276" w:right="1160"/>
        <w:jc w:val="both"/>
        <w:rPr>
          <w:rFonts w:ascii="Aptos" w:hAnsi="Aptos" w:cstheme="minorHAnsi"/>
        </w:rPr>
      </w:pPr>
    </w:p>
    <w:p w14:paraId="12188495" w14:textId="2C4CF6AD" w:rsidR="007C7D0B" w:rsidRPr="007C7D0B" w:rsidRDefault="007C7D0B" w:rsidP="004833DB">
      <w:pPr>
        <w:ind w:left="993" w:right="1160"/>
        <w:jc w:val="both"/>
        <w:rPr>
          <w:rFonts w:ascii="Aptos" w:hAnsi="Aptos" w:cstheme="minorHAnsi"/>
        </w:rPr>
      </w:pPr>
      <w:r w:rsidRPr="007C7D0B">
        <w:rPr>
          <w:rFonts w:ascii="Aptos" w:hAnsi="Aptos" w:cstheme="minorHAnsi"/>
          <w:b/>
          <w:bCs/>
        </w:rPr>
        <w:t xml:space="preserve">Q5 </w:t>
      </w:r>
      <w:r>
        <w:rPr>
          <w:rFonts w:ascii="Aptos" w:hAnsi="Aptos" w:cstheme="minorHAnsi"/>
          <w:b/>
          <w:bCs/>
        </w:rPr>
        <w:t>-</w:t>
      </w:r>
      <w:r w:rsidRPr="007C7D0B">
        <w:rPr>
          <w:rFonts w:ascii="Aptos" w:hAnsi="Aptos" w:cstheme="minorHAnsi"/>
          <w:b/>
          <w:bCs/>
        </w:rPr>
        <w:t xml:space="preserve"> Risk mitigation objective and benchmark derivatives (paragraphs 7.4.1</w:t>
      </w:r>
      <w:r>
        <w:rPr>
          <w:rFonts w:ascii="Aptos" w:hAnsi="Aptos" w:cstheme="minorHAnsi"/>
          <w:b/>
          <w:bCs/>
        </w:rPr>
        <w:t>-</w:t>
      </w:r>
      <w:r w:rsidRPr="007C7D0B">
        <w:rPr>
          <w:rFonts w:ascii="Aptos" w:hAnsi="Aptos" w:cstheme="minorHAnsi"/>
          <w:b/>
          <w:bCs/>
        </w:rPr>
        <w:t>7.4.7)</w:t>
      </w:r>
    </w:p>
    <w:p w14:paraId="51A2FA68" w14:textId="13FD0E38" w:rsidR="007C7D0B" w:rsidRPr="007C7D0B" w:rsidRDefault="007C7D0B" w:rsidP="004833DB">
      <w:pPr>
        <w:ind w:left="993" w:right="1160"/>
        <w:jc w:val="both"/>
        <w:rPr>
          <w:rFonts w:ascii="Aptos" w:hAnsi="Aptos" w:cstheme="minorHAnsi"/>
        </w:rPr>
      </w:pPr>
      <w:r w:rsidRPr="007C7D0B">
        <w:rPr>
          <w:rFonts w:ascii="Aptos" w:hAnsi="Aptos" w:cstheme="minorHAnsi"/>
          <w:b/>
          <w:bCs/>
        </w:rPr>
        <w:t>Response</w:t>
      </w:r>
      <w:r w:rsidRPr="007C7D0B">
        <w:rPr>
          <w:rFonts w:ascii="Aptos" w:hAnsi="Aptos" w:cstheme="minorHAnsi"/>
          <w:b/>
          <w:bCs/>
        </w:rPr>
        <w:t>:</w:t>
      </w:r>
      <w:r w:rsidRPr="007C7D0B">
        <w:rPr>
          <w:rFonts w:ascii="Aptos" w:hAnsi="Aptos" w:cstheme="minorHAnsi"/>
        </w:rPr>
        <w:t xml:space="preserve"> Agree the concept; field-test before finalising.</w:t>
      </w:r>
    </w:p>
    <w:p w14:paraId="746D3D0C" w14:textId="7F2286D7" w:rsidR="007C7D0B" w:rsidRPr="007C7D0B" w:rsidRDefault="007C7D0B" w:rsidP="003C54D5">
      <w:pPr>
        <w:numPr>
          <w:ilvl w:val="0"/>
          <w:numId w:val="6"/>
        </w:numPr>
        <w:ind w:left="1418" w:right="1160"/>
        <w:jc w:val="both"/>
        <w:rPr>
          <w:rFonts w:ascii="Aptos" w:hAnsi="Aptos" w:cstheme="minorHAnsi"/>
        </w:rPr>
      </w:pPr>
      <w:r w:rsidRPr="007C7D0B">
        <w:rPr>
          <w:rFonts w:ascii="Aptos" w:hAnsi="Aptos" w:cstheme="minorHAnsi"/>
        </w:rPr>
        <w:t xml:space="preserve">The discipline that the objective must equal what the designated derivatives actually mitigate, capped at the net exposure in any band (7.4.1, B7.4.3), is what makes the model faithful </w:t>
      </w:r>
      <w:r>
        <w:rPr>
          <w:rFonts w:ascii="Aptos" w:hAnsi="Aptos" w:cstheme="minorHAnsi"/>
        </w:rPr>
        <w:t>-</w:t>
      </w:r>
      <w:r w:rsidRPr="007C7D0B">
        <w:rPr>
          <w:rFonts w:ascii="Aptos" w:hAnsi="Aptos" w:cstheme="minorHAnsi"/>
        </w:rPr>
        <w:t xml:space="preserve"> an entity mitigating 80 cannot claim 70, 90 or 110. Support it.</w:t>
      </w:r>
    </w:p>
    <w:p w14:paraId="6E71D979" w14:textId="53451B7E" w:rsidR="00260E52" w:rsidRDefault="00260E52" w:rsidP="003C54D5">
      <w:pPr>
        <w:numPr>
          <w:ilvl w:val="0"/>
          <w:numId w:val="6"/>
        </w:numPr>
        <w:ind w:left="1418" w:right="1160"/>
        <w:jc w:val="both"/>
        <w:rPr>
          <w:rFonts w:ascii="Aptos" w:hAnsi="Aptos" w:cstheme="minorHAnsi"/>
        </w:rPr>
      </w:pPr>
      <w:r w:rsidRPr="00260E52">
        <w:rPr>
          <w:rFonts w:ascii="Aptos" w:hAnsi="Aptos" w:cstheme="minorHAnsi"/>
        </w:rPr>
        <w:t xml:space="preserve">The benchmark derivative requirements under paragraphs 7.4.5 to 7.4.7 would require a significant new system build. These derivatives are theoretical, have zero initial fair value, and must be recalibrated for unexpected changes. Most entities do not currently have systems to support this. For mid-tier banks, the effort could be similar to implementing a regulatory model. Therefore, the </w:t>
      </w:r>
      <w:r w:rsidR="00297B4E" w:rsidRPr="00297B4E">
        <w:rPr>
          <w:rFonts w:ascii="Aptos" w:hAnsi="Aptos" w:cstheme="minorHAnsi"/>
        </w:rPr>
        <w:t>Exposure Draft</w:t>
      </w:r>
      <w:r w:rsidRPr="00260E52">
        <w:rPr>
          <w:rFonts w:ascii="Aptos" w:hAnsi="Aptos" w:cstheme="minorHAnsi"/>
        </w:rPr>
        <w:t xml:space="preserve"> should not present this as a modest extension.</w:t>
      </w:r>
    </w:p>
    <w:p w14:paraId="39539CB0" w14:textId="77777777" w:rsidR="00297B4E" w:rsidRDefault="00297B4E" w:rsidP="003C54D5">
      <w:pPr>
        <w:numPr>
          <w:ilvl w:val="0"/>
          <w:numId w:val="6"/>
        </w:numPr>
        <w:ind w:left="1418" w:right="1160"/>
        <w:jc w:val="both"/>
        <w:rPr>
          <w:rFonts w:ascii="Aptos" w:hAnsi="Aptos" w:cstheme="minorHAnsi"/>
        </w:rPr>
      </w:pPr>
      <w:r w:rsidRPr="00297B4E">
        <w:rPr>
          <w:rFonts w:ascii="Aptos" w:hAnsi="Aptos" w:cstheme="minorHAnsi"/>
        </w:rPr>
        <w:t>The proposed reliefs are sensible and should be retained. As outlined in paragraph 7.4.7, adjustments to benchmark derivatives should be made only when an unexpected change causes the exposure to fall below the hedging objective. Paragraph B7.4.12 supports the use of an undue-cost-or-effort exemption where appropriate. Additionally, paragraph B7.4.14 clarifies that benchmark derivatives are not required to replicate all the terms of the designated derivatives.</w:t>
      </w:r>
    </w:p>
    <w:p w14:paraId="38747F35" w14:textId="780A6E94" w:rsidR="007C7D0B" w:rsidRPr="007C7D0B" w:rsidRDefault="00297B4E" w:rsidP="003C54D5">
      <w:pPr>
        <w:numPr>
          <w:ilvl w:val="0"/>
          <w:numId w:val="6"/>
        </w:numPr>
        <w:ind w:left="1418" w:right="1160"/>
        <w:jc w:val="both"/>
        <w:rPr>
          <w:rFonts w:ascii="Aptos" w:hAnsi="Aptos" w:cstheme="minorHAnsi"/>
        </w:rPr>
      </w:pPr>
      <w:r w:rsidRPr="00297B4E">
        <w:rPr>
          <w:rFonts w:ascii="Aptos" w:hAnsi="Aptos" w:cstheme="minorHAnsi"/>
        </w:rPr>
        <w:t>The fieldwork should be completed and published before the requirements are finalised. It should include at least one fully worked benchmark derivative example covering construction, calibration to zero initial fair value, and subsequent adjustment. This is a key area where workability cannot be assessed from the wording alone.</w:t>
      </w:r>
    </w:p>
    <w:p w14:paraId="6840F2E3" w14:textId="4341289D" w:rsidR="007C7D0B" w:rsidRPr="007C7D0B" w:rsidRDefault="007C7D0B" w:rsidP="004833DB">
      <w:pPr>
        <w:ind w:left="1276" w:right="1160"/>
        <w:jc w:val="both"/>
        <w:rPr>
          <w:rFonts w:ascii="Aptos" w:hAnsi="Aptos" w:cstheme="minorHAnsi"/>
        </w:rPr>
      </w:pPr>
    </w:p>
    <w:p w14:paraId="1EB2D81E" w14:textId="7DE05359" w:rsidR="007C7D0B" w:rsidRPr="007C7D0B" w:rsidRDefault="007C7D0B" w:rsidP="004833DB">
      <w:pPr>
        <w:ind w:left="993" w:right="1160"/>
        <w:jc w:val="both"/>
        <w:rPr>
          <w:rFonts w:ascii="Aptos" w:hAnsi="Aptos" w:cstheme="minorHAnsi"/>
        </w:rPr>
      </w:pPr>
      <w:r w:rsidRPr="007C7D0B">
        <w:rPr>
          <w:rFonts w:ascii="Aptos" w:hAnsi="Aptos" w:cstheme="minorHAnsi"/>
          <w:b/>
          <w:bCs/>
        </w:rPr>
        <w:t xml:space="preserve">Q6 </w:t>
      </w:r>
      <w:r>
        <w:rPr>
          <w:rFonts w:ascii="Aptos" w:hAnsi="Aptos" w:cstheme="minorHAnsi"/>
          <w:b/>
          <w:bCs/>
        </w:rPr>
        <w:t>-</w:t>
      </w:r>
      <w:r w:rsidRPr="007C7D0B">
        <w:rPr>
          <w:rFonts w:ascii="Aptos" w:hAnsi="Aptos" w:cstheme="minorHAnsi"/>
          <w:b/>
          <w:bCs/>
        </w:rPr>
        <w:t xml:space="preserve"> Recognising and measuring the risk mitigation adjustment (paragraphs 7.4.8</w:t>
      </w:r>
      <w:r>
        <w:rPr>
          <w:rFonts w:ascii="Aptos" w:hAnsi="Aptos" w:cstheme="minorHAnsi"/>
          <w:b/>
          <w:bCs/>
        </w:rPr>
        <w:t>-</w:t>
      </w:r>
      <w:r w:rsidRPr="007C7D0B">
        <w:rPr>
          <w:rFonts w:ascii="Aptos" w:hAnsi="Aptos" w:cstheme="minorHAnsi"/>
          <w:b/>
          <w:bCs/>
        </w:rPr>
        <w:t>7.4.14)</w:t>
      </w:r>
    </w:p>
    <w:p w14:paraId="4E19AEB8" w14:textId="070DD6EB" w:rsidR="007C7D0B" w:rsidRPr="007C7D0B" w:rsidRDefault="007C7D0B" w:rsidP="004833DB">
      <w:pPr>
        <w:ind w:left="993" w:right="1160"/>
        <w:jc w:val="both"/>
        <w:rPr>
          <w:rFonts w:ascii="Aptos" w:hAnsi="Aptos" w:cstheme="minorHAnsi"/>
        </w:rPr>
      </w:pPr>
      <w:r w:rsidRPr="007C7D0B">
        <w:rPr>
          <w:rFonts w:ascii="Aptos" w:hAnsi="Aptos" w:cstheme="minorHAnsi"/>
          <w:b/>
          <w:bCs/>
        </w:rPr>
        <w:t>Response</w:t>
      </w:r>
      <w:r w:rsidRPr="007C7D0B">
        <w:rPr>
          <w:rFonts w:ascii="Aptos" w:hAnsi="Aptos" w:cstheme="minorHAnsi"/>
        </w:rPr>
        <w:t>: Agree</w:t>
      </w:r>
      <w:r w:rsidR="00EE5443">
        <w:rPr>
          <w:rFonts w:ascii="Aptos" w:hAnsi="Aptos" w:cstheme="minorHAnsi"/>
        </w:rPr>
        <w:t xml:space="preserve"> but subject to</w:t>
      </w:r>
      <w:r w:rsidRPr="007C7D0B">
        <w:rPr>
          <w:rFonts w:ascii="Aptos" w:hAnsi="Aptos" w:cstheme="minorHAnsi"/>
        </w:rPr>
        <w:t>.</w:t>
      </w:r>
    </w:p>
    <w:p w14:paraId="4A50AF0C" w14:textId="77777777" w:rsidR="007C7D0B" w:rsidRPr="007C7D0B" w:rsidRDefault="007C7D0B" w:rsidP="003C54D5">
      <w:pPr>
        <w:numPr>
          <w:ilvl w:val="0"/>
          <w:numId w:val="7"/>
        </w:numPr>
        <w:ind w:left="1418" w:right="1160"/>
        <w:jc w:val="both"/>
        <w:rPr>
          <w:rFonts w:ascii="Aptos" w:hAnsi="Aptos" w:cstheme="minorHAnsi"/>
        </w:rPr>
      </w:pPr>
      <w:r w:rsidRPr="007C7D0B">
        <w:rPr>
          <w:rFonts w:ascii="Aptos" w:hAnsi="Aptos" w:cstheme="minorHAnsi"/>
        </w:rPr>
        <w:t>The lower-of measurement (7.4.8) correctly caps recognition at the extent of mitigation and prevents recognising derivative gains beyond the risk hedged. Support it. Recycling as repricing differences affect profit or loss (7.4.10), using the benchmark accrual profile as a proxy (B7.4.17), is sound.</w:t>
      </w:r>
    </w:p>
    <w:p w14:paraId="14582FE9" w14:textId="7F0A108D" w:rsidR="007C7D0B" w:rsidRPr="007C7D0B" w:rsidRDefault="007C7D0B" w:rsidP="003C54D5">
      <w:pPr>
        <w:numPr>
          <w:ilvl w:val="0"/>
          <w:numId w:val="7"/>
        </w:numPr>
        <w:ind w:left="1418" w:right="1160"/>
        <w:jc w:val="both"/>
        <w:rPr>
          <w:rFonts w:ascii="Aptos" w:hAnsi="Aptos" w:cstheme="minorHAnsi"/>
        </w:rPr>
      </w:pPr>
      <w:r w:rsidRPr="007C7D0B">
        <w:rPr>
          <w:rFonts w:ascii="Aptos" w:hAnsi="Aptos" w:cstheme="minorHAnsi"/>
        </w:rPr>
        <w:lastRenderedPageBreak/>
        <w:t>The no-reversal of the excess (7.4.14) is my concern. I</w:t>
      </w:r>
      <w:r w:rsidR="00EE5443" w:rsidRPr="00EE5443">
        <w:rPr>
          <w:rFonts w:ascii="Aptos" w:hAnsi="Aptos" w:cstheme="minorHAnsi"/>
        </w:rPr>
        <w:t>f the unexpected change that created the excess later reverses, such as a temporary prepayment spike returning to normal, the recognised loss does not unwind. This may not faithfully reflect the fact that, over the rolling mitigated period, the risk mitigation was effective.</w:t>
      </w:r>
    </w:p>
    <w:p w14:paraId="0AF5B936" w14:textId="150995F6" w:rsidR="00EE5443" w:rsidRDefault="00EE5443" w:rsidP="003C54D5">
      <w:pPr>
        <w:numPr>
          <w:ilvl w:val="0"/>
          <w:numId w:val="7"/>
        </w:numPr>
        <w:ind w:left="1418" w:right="1160"/>
        <w:jc w:val="both"/>
        <w:rPr>
          <w:rFonts w:ascii="Aptos" w:hAnsi="Aptos" w:cstheme="minorHAnsi"/>
        </w:rPr>
      </w:pPr>
      <w:r w:rsidRPr="00EE5443">
        <w:rPr>
          <w:rFonts w:ascii="Aptos" w:hAnsi="Aptos" w:cstheme="minorHAnsi"/>
        </w:rPr>
        <w:t>A limited reversal should be permitted where there is clear and objective evidence that the specific excess previously recognised has reversed. If the no-reversal approach is retained, the Basis for Conclusions should clearly explain the trade-off between preventing earnings management and achieving faithful representation.</w:t>
      </w:r>
    </w:p>
    <w:p w14:paraId="3345D27A" w14:textId="5D3AA3FB" w:rsidR="007C7D0B" w:rsidRPr="007C7D0B" w:rsidRDefault="00EE5443" w:rsidP="003C54D5">
      <w:pPr>
        <w:numPr>
          <w:ilvl w:val="0"/>
          <w:numId w:val="7"/>
        </w:numPr>
        <w:ind w:left="1418" w:right="1160"/>
        <w:jc w:val="both"/>
        <w:rPr>
          <w:rFonts w:ascii="Aptos" w:hAnsi="Aptos" w:cstheme="minorHAnsi"/>
        </w:rPr>
      </w:pPr>
      <w:r w:rsidRPr="00EE5443">
        <w:rPr>
          <w:rFonts w:ascii="Aptos" w:hAnsi="Aptos" w:cstheme="minorHAnsi"/>
        </w:rPr>
        <w:t>The present value of the net exposure under paragraphs 7.4.13 and B7.4.20 is different from the present value of the underlying instruments. A worked example should be provided to clearly explain this distinction.</w:t>
      </w:r>
    </w:p>
    <w:p w14:paraId="18A85875" w14:textId="2DB1C7E9" w:rsidR="007C7D0B" w:rsidRPr="007C7D0B" w:rsidRDefault="007C7D0B" w:rsidP="003C54D5">
      <w:pPr>
        <w:ind w:left="1418" w:right="1160"/>
        <w:jc w:val="both"/>
        <w:rPr>
          <w:rFonts w:ascii="Aptos" w:hAnsi="Aptos" w:cstheme="minorHAnsi"/>
        </w:rPr>
      </w:pPr>
    </w:p>
    <w:p w14:paraId="0D563495" w14:textId="56B024AD" w:rsidR="007C7D0B" w:rsidRPr="007C7D0B" w:rsidRDefault="007C7D0B" w:rsidP="003C54D5">
      <w:pPr>
        <w:ind w:left="1418" w:right="1160"/>
        <w:jc w:val="both"/>
        <w:rPr>
          <w:rFonts w:ascii="Aptos" w:hAnsi="Aptos" w:cstheme="minorHAnsi"/>
        </w:rPr>
      </w:pPr>
      <w:r w:rsidRPr="007C7D0B">
        <w:rPr>
          <w:rFonts w:ascii="Aptos" w:hAnsi="Aptos" w:cstheme="minorHAnsi"/>
          <w:b/>
          <w:bCs/>
        </w:rPr>
        <w:t xml:space="preserve">Q7 </w:t>
      </w:r>
      <w:r>
        <w:rPr>
          <w:rFonts w:ascii="Aptos" w:hAnsi="Aptos" w:cstheme="minorHAnsi"/>
          <w:b/>
          <w:bCs/>
        </w:rPr>
        <w:t>-</w:t>
      </w:r>
      <w:r w:rsidRPr="007C7D0B">
        <w:rPr>
          <w:rFonts w:ascii="Aptos" w:hAnsi="Aptos" w:cstheme="minorHAnsi"/>
          <w:b/>
          <w:bCs/>
        </w:rPr>
        <w:t xml:space="preserve"> Discontinuation (Section 7.5)</w:t>
      </w:r>
    </w:p>
    <w:p w14:paraId="3F2BF4D2" w14:textId="1560A4F2" w:rsidR="007C7D0B" w:rsidRPr="007C7D0B" w:rsidRDefault="007C7D0B" w:rsidP="003C54D5">
      <w:pPr>
        <w:ind w:left="1418" w:right="1160"/>
        <w:jc w:val="both"/>
        <w:rPr>
          <w:rFonts w:ascii="Aptos" w:hAnsi="Aptos" w:cstheme="minorHAnsi"/>
        </w:rPr>
      </w:pPr>
      <w:r w:rsidRPr="007C7D0B">
        <w:rPr>
          <w:rFonts w:ascii="Aptos" w:hAnsi="Aptos" w:cstheme="minorHAnsi"/>
          <w:b/>
          <w:bCs/>
        </w:rPr>
        <w:t>Response</w:t>
      </w:r>
      <w:r w:rsidRPr="007C7D0B">
        <w:rPr>
          <w:rFonts w:ascii="Aptos" w:hAnsi="Aptos" w:cstheme="minorHAnsi"/>
          <w:b/>
          <w:bCs/>
        </w:rPr>
        <w:t>:</w:t>
      </w:r>
      <w:r w:rsidRPr="007C7D0B">
        <w:rPr>
          <w:rFonts w:ascii="Aptos" w:hAnsi="Aptos" w:cstheme="minorHAnsi"/>
        </w:rPr>
        <w:t xml:space="preserve"> </w:t>
      </w:r>
      <w:proofErr w:type="gramStart"/>
      <w:r w:rsidRPr="007C7D0B">
        <w:rPr>
          <w:rFonts w:ascii="Aptos" w:hAnsi="Aptos" w:cstheme="minorHAnsi"/>
        </w:rPr>
        <w:t xml:space="preserve">Agree </w:t>
      </w:r>
      <w:r w:rsidR="00EE5443">
        <w:rPr>
          <w:rFonts w:ascii="Aptos" w:hAnsi="Aptos" w:cstheme="minorHAnsi"/>
        </w:rPr>
        <w:t>.</w:t>
      </w:r>
      <w:proofErr w:type="gramEnd"/>
    </w:p>
    <w:p w14:paraId="145BFB14" w14:textId="2A74F661" w:rsidR="007C7D0B" w:rsidRPr="007C7D0B" w:rsidRDefault="00EE5443" w:rsidP="003C54D5">
      <w:pPr>
        <w:numPr>
          <w:ilvl w:val="0"/>
          <w:numId w:val="8"/>
        </w:numPr>
        <w:ind w:left="1418" w:right="1160"/>
        <w:jc w:val="both"/>
        <w:rPr>
          <w:rFonts w:ascii="Aptos" w:hAnsi="Aptos" w:cstheme="minorHAnsi"/>
        </w:rPr>
      </w:pPr>
      <w:r w:rsidRPr="00EE5443">
        <w:rPr>
          <w:rFonts w:ascii="Aptos" w:hAnsi="Aptos" w:cstheme="minorHAnsi"/>
        </w:rPr>
        <w:t>Discontinuation should be limited to a change in risk management strategy and applied prospectively, as set out in paragraph 7.5.1. The distinction between strategy and routine risk management activity in paragraphs 7.5.2 and B7.5.5 is also appropriate. Routine rebalancing should be dealt with by adjusting benchmark derivatives, not by discontinuing the model.</w:t>
      </w:r>
    </w:p>
    <w:p w14:paraId="1D131341" w14:textId="2E101035" w:rsidR="00EE5443" w:rsidRDefault="00EE5443" w:rsidP="003C54D5">
      <w:pPr>
        <w:numPr>
          <w:ilvl w:val="0"/>
          <w:numId w:val="8"/>
        </w:numPr>
        <w:ind w:left="1418" w:right="1160"/>
        <w:jc w:val="both"/>
        <w:rPr>
          <w:rFonts w:ascii="Aptos" w:hAnsi="Aptos" w:cstheme="minorHAnsi"/>
        </w:rPr>
      </w:pPr>
      <w:r w:rsidRPr="00EE5443">
        <w:rPr>
          <w:rFonts w:ascii="Aptos" w:hAnsi="Aptos" w:cstheme="minorHAnsi"/>
        </w:rPr>
        <w:t xml:space="preserve">The distinction between a strategy change and routine activity remains judgmental, and the examples in paragraph B7.5.3 are not exhaustive. The </w:t>
      </w:r>
      <w:r>
        <w:rPr>
          <w:rFonts w:ascii="Aptos" w:hAnsi="Aptos" w:cstheme="minorHAnsi"/>
        </w:rPr>
        <w:t>Exposure Draft</w:t>
      </w:r>
      <w:r w:rsidRPr="00EE5443">
        <w:rPr>
          <w:rFonts w:ascii="Aptos" w:hAnsi="Aptos" w:cstheme="minorHAnsi"/>
        </w:rPr>
        <w:t xml:space="preserve"> should address cases such as recalibrating a deposit behavioural model by updating the core-deposit assumption without changing the mitigated rate or the measure type. It should clarify whether this is a change in the measures used to quantify the exposure, requiring discontinuation, or merely routine recalibration, allowing continuation. Additional examples should be added, including at least one genuinely borderline case.</w:t>
      </w:r>
    </w:p>
    <w:p w14:paraId="26633DC0" w14:textId="77777777" w:rsidR="003C54D5" w:rsidRDefault="003C54D5" w:rsidP="003C54D5">
      <w:pPr>
        <w:numPr>
          <w:ilvl w:val="0"/>
          <w:numId w:val="8"/>
        </w:numPr>
        <w:ind w:left="1418" w:right="1160"/>
        <w:jc w:val="both"/>
        <w:rPr>
          <w:rFonts w:ascii="Aptos" w:hAnsi="Aptos" w:cstheme="minorHAnsi"/>
        </w:rPr>
      </w:pPr>
      <w:r w:rsidRPr="003C54D5">
        <w:rPr>
          <w:rFonts w:ascii="Aptos" w:hAnsi="Aptos" w:cstheme="minorHAnsi"/>
        </w:rPr>
        <w:t>There is a risk of opportunistic classification, as an entity could characterise a change either to trigger or to avoid crystallising the accumulated adjustment. The key control should be consistency over time in how such changes are assessed and documented.</w:t>
      </w:r>
    </w:p>
    <w:p w14:paraId="4BFA4466" w14:textId="64BC49AC" w:rsidR="003C54D5" w:rsidRPr="003C54D5" w:rsidRDefault="003C54D5" w:rsidP="003C54D5">
      <w:pPr>
        <w:numPr>
          <w:ilvl w:val="0"/>
          <w:numId w:val="8"/>
        </w:numPr>
        <w:ind w:left="1418" w:right="1160"/>
        <w:jc w:val="both"/>
        <w:rPr>
          <w:rFonts w:ascii="Aptos" w:hAnsi="Aptos" w:cstheme="minorHAnsi"/>
        </w:rPr>
      </w:pPr>
      <w:r w:rsidRPr="003C54D5">
        <w:rPr>
          <w:rFonts w:ascii="Aptos" w:hAnsi="Aptos" w:cstheme="minorHAnsi"/>
        </w:rPr>
        <w:t>The treatment of the accumulated adjustment on discontinuation under paragraph 7.5.3 is appropriate.</w:t>
      </w:r>
    </w:p>
    <w:p w14:paraId="61870D24" w14:textId="4844C8AA" w:rsidR="007C7D0B" w:rsidRPr="007C7D0B" w:rsidRDefault="007C7D0B" w:rsidP="004833DB">
      <w:pPr>
        <w:ind w:left="1276" w:right="1160"/>
        <w:jc w:val="both"/>
        <w:rPr>
          <w:rFonts w:ascii="Aptos" w:hAnsi="Aptos" w:cstheme="minorHAnsi"/>
        </w:rPr>
      </w:pPr>
    </w:p>
    <w:p w14:paraId="15100D20" w14:textId="54E50F06" w:rsidR="007C7D0B" w:rsidRPr="007C7D0B" w:rsidRDefault="007C7D0B" w:rsidP="004833DB">
      <w:pPr>
        <w:ind w:left="993" w:right="1160"/>
        <w:jc w:val="both"/>
        <w:rPr>
          <w:rFonts w:ascii="Aptos" w:hAnsi="Aptos" w:cstheme="minorHAnsi"/>
        </w:rPr>
      </w:pPr>
      <w:r w:rsidRPr="007C7D0B">
        <w:rPr>
          <w:rFonts w:ascii="Aptos" w:hAnsi="Aptos" w:cstheme="minorHAnsi"/>
          <w:b/>
          <w:bCs/>
        </w:rPr>
        <w:t xml:space="preserve">Q8 </w:t>
      </w:r>
      <w:r>
        <w:rPr>
          <w:rFonts w:ascii="Aptos" w:hAnsi="Aptos" w:cstheme="minorHAnsi"/>
          <w:b/>
          <w:bCs/>
        </w:rPr>
        <w:t>-</w:t>
      </w:r>
      <w:r w:rsidRPr="007C7D0B">
        <w:rPr>
          <w:rFonts w:ascii="Aptos" w:hAnsi="Aptos" w:cstheme="minorHAnsi"/>
          <w:b/>
          <w:bCs/>
        </w:rPr>
        <w:t xml:space="preserve"> Effective date and withdrawal of IAS 39 (Appendix C, Section C1)</w:t>
      </w:r>
    </w:p>
    <w:p w14:paraId="0DCB57FC" w14:textId="01DA3A8B" w:rsidR="007C7D0B" w:rsidRPr="007C7D0B" w:rsidRDefault="007C7D0B" w:rsidP="003C54D5">
      <w:pPr>
        <w:tabs>
          <w:tab w:val="num" w:pos="720"/>
        </w:tabs>
        <w:ind w:left="993" w:right="1160"/>
        <w:jc w:val="both"/>
        <w:rPr>
          <w:rFonts w:ascii="Aptos" w:hAnsi="Aptos" w:cstheme="minorHAnsi"/>
        </w:rPr>
      </w:pPr>
      <w:r w:rsidRPr="007C7D0B">
        <w:rPr>
          <w:rFonts w:ascii="Aptos" w:hAnsi="Aptos" w:cstheme="minorHAnsi"/>
          <w:b/>
          <w:bCs/>
        </w:rPr>
        <w:t>Response</w:t>
      </w:r>
      <w:r w:rsidRPr="007C7D0B">
        <w:rPr>
          <w:rFonts w:ascii="Aptos" w:hAnsi="Aptos" w:cstheme="minorHAnsi"/>
        </w:rPr>
        <w:t>:</w:t>
      </w:r>
      <w:r w:rsidR="003C54D5">
        <w:rPr>
          <w:rFonts w:ascii="Aptos" w:hAnsi="Aptos" w:cstheme="minorHAnsi"/>
        </w:rPr>
        <w:t xml:space="preserve"> No Comment</w:t>
      </w:r>
      <w:r w:rsidRPr="007C7D0B">
        <w:rPr>
          <w:rFonts w:ascii="Aptos" w:hAnsi="Aptos" w:cstheme="minorHAnsi"/>
        </w:rPr>
        <w:t>.</w:t>
      </w:r>
    </w:p>
    <w:p w14:paraId="4CFB0416" w14:textId="2C049D45" w:rsidR="007C7D0B" w:rsidRPr="007C7D0B" w:rsidRDefault="007C7D0B" w:rsidP="004833DB">
      <w:pPr>
        <w:ind w:left="1276" w:right="1160"/>
        <w:jc w:val="both"/>
        <w:rPr>
          <w:rFonts w:ascii="Aptos" w:hAnsi="Aptos" w:cstheme="minorHAnsi"/>
        </w:rPr>
      </w:pPr>
    </w:p>
    <w:p w14:paraId="54D899E8" w14:textId="20D7BC40" w:rsidR="007C7D0B" w:rsidRPr="007C7D0B" w:rsidRDefault="007C7D0B" w:rsidP="004833DB">
      <w:pPr>
        <w:ind w:left="993" w:right="1160"/>
        <w:jc w:val="both"/>
        <w:rPr>
          <w:rFonts w:ascii="Aptos" w:hAnsi="Aptos" w:cstheme="minorHAnsi"/>
        </w:rPr>
      </w:pPr>
      <w:r w:rsidRPr="007C7D0B">
        <w:rPr>
          <w:rFonts w:ascii="Aptos" w:hAnsi="Aptos" w:cstheme="minorHAnsi"/>
          <w:b/>
          <w:bCs/>
        </w:rPr>
        <w:t xml:space="preserve">Q9 </w:t>
      </w:r>
      <w:r>
        <w:rPr>
          <w:rFonts w:ascii="Aptos" w:hAnsi="Aptos" w:cstheme="minorHAnsi"/>
          <w:b/>
          <w:bCs/>
        </w:rPr>
        <w:t>-</w:t>
      </w:r>
      <w:r w:rsidRPr="007C7D0B">
        <w:rPr>
          <w:rFonts w:ascii="Aptos" w:hAnsi="Aptos" w:cstheme="minorHAnsi"/>
          <w:b/>
          <w:bCs/>
        </w:rPr>
        <w:t xml:space="preserve"> Transition (Appendix C, Section C2)</w:t>
      </w:r>
    </w:p>
    <w:p w14:paraId="149531ED" w14:textId="1D4C3679" w:rsidR="007C7D0B" w:rsidRPr="007C7D0B" w:rsidRDefault="007C7D0B" w:rsidP="004833DB">
      <w:pPr>
        <w:ind w:left="993" w:right="1160"/>
        <w:jc w:val="both"/>
        <w:rPr>
          <w:rFonts w:ascii="Aptos" w:hAnsi="Aptos" w:cstheme="minorHAnsi"/>
        </w:rPr>
      </w:pPr>
      <w:r w:rsidRPr="007C7D0B">
        <w:rPr>
          <w:rFonts w:ascii="Aptos" w:hAnsi="Aptos" w:cstheme="minorHAnsi"/>
          <w:b/>
          <w:bCs/>
        </w:rPr>
        <w:t>Response</w:t>
      </w:r>
      <w:r w:rsidRPr="007C7D0B">
        <w:rPr>
          <w:rFonts w:ascii="Aptos" w:hAnsi="Aptos" w:cstheme="minorHAnsi"/>
        </w:rPr>
        <w:t>: Agree prospective application and the reliefs.</w:t>
      </w:r>
    </w:p>
    <w:p w14:paraId="0E8923A7" w14:textId="77777777" w:rsidR="003C54D5" w:rsidRDefault="003C54D5" w:rsidP="003C54D5">
      <w:pPr>
        <w:numPr>
          <w:ilvl w:val="0"/>
          <w:numId w:val="10"/>
        </w:numPr>
        <w:ind w:left="1418" w:right="1160"/>
        <w:jc w:val="both"/>
        <w:rPr>
          <w:rFonts w:ascii="Aptos" w:hAnsi="Aptos" w:cstheme="minorHAnsi"/>
        </w:rPr>
      </w:pPr>
      <w:r w:rsidRPr="003C54D5">
        <w:rPr>
          <w:rFonts w:ascii="Aptos" w:hAnsi="Aptos" w:cstheme="minorHAnsi"/>
        </w:rPr>
        <w:t>Prospective application under paragraph C2.54 is the only practical approach. Retrospective application would not be reliable or auditable for an open-portfolio model that uses behavioural assumptions and is continuously updated.</w:t>
      </w:r>
    </w:p>
    <w:p w14:paraId="41A4D165" w14:textId="177479B3" w:rsidR="003C54D5" w:rsidRPr="007C7D0B" w:rsidRDefault="003C54D5" w:rsidP="003C54D5">
      <w:pPr>
        <w:numPr>
          <w:ilvl w:val="0"/>
          <w:numId w:val="10"/>
        </w:numPr>
        <w:ind w:left="1418" w:right="1160"/>
        <w:jc w:val="both"/>
        <w:rPr>
          <w:rFonts w:ascii="Aptos" w:hAnsi="Aptos" w:cstheme="minorHAnsi"/>
        </w:rPr>
      </w:pPr>
      <w:r w:rsidRPr="003C54D5">
        <w:rPr>
          <w:rFonts w:ascii="Aptos" w:hAnsi="Aptos" w:cstheme="minorHAnsi"/>
        </w:rPr>
        <w:lastRenderedPageBreak/>
        <w:t>The transition reliefs are appropriate and should be retained. These include relief for revoking previous FVTPL designations, discontinuing IAS 39 hedges with related consequential treatment and impracticability relief, discontinuing Chapter 6 hedges where the hedged items become part of underlying portfolios, and exemption from the IAS 8 paragraph 28(f) quantitative disclosure requirement.</w:t>
      </w:r>
    </w:p>
    <w:p w14:paraId="2ECF6FF6" w14:textId="31DAB3CD" w:rsidR="007C7D0B" w:rsidRPr="007C7D0B" w:rsidRDefault="003C54D5" w:rsidP="003C54D5">
      <w:pPr>
        <w:numPr>
          <w:ilvl w:val="0"/>
          <w:numId w:val="10"/>
        </w:numPr>
        <w:ind w:left="1418" w:right="1160"/>
        <w:jc w:val="both"/>
        <w:rPr>
          <w:rFonts w:ascii="Aptos" w:hAnsi="Aptos" w:cstheme="minorHAnsi"/>
        </w:rPr>
      </w:pPr>
      <w:r w:rsidRPr="003C54D5">
        <w:rPr>
          <w:rFonts w:ascii="Aptos" w:hAnsi="Aptos" w:cstheme="minorHAnsi"/>
        </w:rPr>
        <w:t>Prospective-only application means comparatives will not be restated, creating a discontinuity for users. This does not mean restatement should be required. However, the Board should confirm that the IFRS 7 transition disclosures in paragraphs 44RR to 44SS are sufficient or, alternatively, require a transition-bridge disclosure showing the effect at the date of initial application.</w:t>
      </w:r>
    </w:p>
    <w:p w14:paraId="67070E1A" w14:textId="29511DD3" w:rsidR="007C7D0B" w:rsidRDefault="003C54D5" w:rsidP="003C54D5">
      <w:pPr>
        <w:numPr>
          <w:ilvl w:val="0"/>
          <w:numId w:val="10"/>
        </w:numPr>
        <w:ind w:left="1418" w:right="1160"/>
        <w:jc w:val="both"/>
        <w:rPr>
          <w:rFonts w:ascii="Aptos" w:hAnsi="Aptos" w:cstheme="minorHAnsi"/>
        </w:rPr>
      </w:pPr>
      <w:r w:rsidRPr="003C54D5">
        <w:rPr>
          <w:rFonts w:ascii="Aptos" w:hAnsi="Aptos" w:cstheme="minorHAnsi"/>
        </w:rPr>
        <w:t>I support the exemption from the IAS 8 paragraph 28(f) quantitative disclosure requirement. However, because the quantitative impact disclosure is not required, the qualitative transition disclosures should be sufficiently robust.</w:t>
      </w:r>
    </w:p>
    <w:p w14:paraId="085E6566" w14:textId="77777777" w:rsidR="003C54D5" w:rsidRPr="007C7D0B" w:rsidRDefault="003C54D5" w:rsidP="003C54D5">
      <w:pPr>
        <w:ind w:left="1276" w:right="1160"/>
        <w:jc w:val="both"/>
        <w:rPr>
          <w:rFonts w:ascii="Aptos" w:hAnsi="Aptos" w:cstheme="minorHAnsi"/>
        </w:rPr>
      </w:pPr>
    </w:p>
    <w:p w14:paraId="14B4E9B5" w14:textId="2864BC85" w:rsidR="007C7D0B" w:rsidRPr="007C7D0B" w:rsidRDefault="007C7D0B" w:rsidP="004833DB">
      <w:pPr>
        <w:ind w:left="1276" w:right="1160"/>
        <w:jc w:val="both"/>
        <w:rPr>
          <w:rFonts w:ascii="Aptos" w:hAnsi="Aptos" w:cstheme="minorHAnsi"/>
        </w:rPr>
      </w:pPr>
    </w:p>
    <w:p w14:paraId="7B766FE9" w14:textId="41168562" w:rsidR="007C7D0B" w:rsidRPr="007C7D0B" w:rsidRDefault="007C7D0B" w:rsidP="004833DB">
      <w:pPr>
        <w:ind w:left="993" w:right="1160"/>
        <w:jc w:val="both"/>
        <w:rPr>
          <w:rFonts w:ascii="Aptos" w:hAnsi="Aptos" w:cstheme="minorHAnsi"/>
        </w:rPr>
      </w:pPr>
      <w:r w:rsidRPr="007C7D0B">
        <w:rPr>
          <w:rFonts w:ascii="Aptos" w:hAnsi="Aptos" w:cstheme="minorHAnsi"/>
          <w:b/>
          <w:bCs/>
        </w:rPr>
        <w:t xml:space="preserve">Q10 </w:t>
      </w:r>
      <w:r>
        <w:rPr>
          <w:rFonts w:ascii="Aptos" w:hAnsi="Aptos" w:cstheme="minorHAnsi"/>
          <w:b/>
          <w:bCs/>
        </w:rPr>
        <w:t>-</w:t>
      </w:r>
      <w:r w:rsidRPr="007C7D0B">
        <w:rPr>
          <w:rFonts w:ascii="Aptos" w:hAnsi="Aptos" w:cstheme="minorHAnsi"/>
          <w:b/>
          <w:bCs/>
        </w:rPr>
        <w:t xml:space="preserve"> Disclosure requirements (proposed amendments to IFRS 7)</w:t>
      </w:r>
    </w:p>
    <w:p w14:paraId="09B02F77" w14:textId="2878EECA" w:rsidR="007C7D0B" w:rsidRPr="007C7D0B" w:rsidRDefault="007C7D0B" w:rsidP="004833DB">
      <w:pPr>
        <w:ind w:left="993" w:right="1160"/>
        <w:jc w:val="both"/>
        <w:rPr>
          <w:rFonts w:ascii="Aptos" w:hAnsi="Aptos" w:cstheme="minorHAnsi"/>
        </w:rPr>
      </w:pPr>
      <w:r w:rsidRPr="007C7D0B">
        <w:rPr>
          <w:rFonts w:ascii="Aptos" w:hAnsi="Aptos" w:cstheme="minorHAnsi"/>
          <w:b/>
          <w:bCs/>
        </w:rPr>
        <w:t>Response</w:t>
      </w:r>
      <w:r w:rsidRPr="007C7D0B">
        <w:rPr>
          <w:rFonts w:ascii="Aptos" w:hAnsi="Aptos" w:cstheme="minorHAnsi"/>
        </w:rPr>
        <w:t>: Agree</w:t>
      </w:r>
      <w:r w:rsidR="003C54D5">
        <w:rPr>
          <w:rFonts w:ascii="Aptos" w:hAnsi="Aptos" w:cstheme="minorHAnsi"/>
        </w:rPr>
        <w:t>,</w:t>
      </w:r>
      <w:r w:rsidRPr="007C7D0B">
        <w:rPr>
          <w:rFonts w:ascii="Aptos" w:hAnsi="Aptos" w:cstheme="minorHAnsi"/>
        </w:rPr>
        <w:t xml:space="preserve"> robust disclosure is essential.</w:t>
      </w:r>
    </w:p>
    <w:p w14:paraId="1D7024CC" w14:textId="77777777" w:rsidR="003C54D5" w:rsidRDefault="003C54D5" w:rsidP="003C54D5">
      <w:pPr>
        <w:numPr>
          <w:ilvl w:val="0"/>
          <w:numId w:val="11"/>
        </w:numPr>
        <w:ind w:left="1418" w:right="1160"/>
        <w:jc w:val="both"/>
        <w:rPr>
          <w:rFonts w:ascii="Aptos" w:hAnsi="Aptos" w:cstheme="minorHAnsi"/>
        </w:rPr>
      </w:pPr>
      <w:r w:rsidRPr="003C54D5">
        <w:rPr>
          <w:rFonts w:ascii="Aptos" w:hAnsi="Aptos" w:cstheme="minorHAnsi"/>
        </w:rPr>
        <w:t>Separate presentation of the risk mitigation adjustment and the amount recycled to profit or loss under paragraph 30E is essential. The disclosure package in paragraphs 30H to 30P is coherent and aligns with the model.</w:t>
      </w:r>
    </w:p>
    <w:p w14:paraId="3BF8C61E" w14:textId="5317677B" w:rsidR="007C7D0B" w:rsidRPr="007C7D0B" w:rsidRDefault="003C54D5" w:rsidP="003C54D5">
      <w:pPr>
        <w:numPr>
          <w:ilvl w:val="0"/>
          <w:numId w:val="11"/>
        </w:numPr>
        <w:ind w:left="1418" w:right="1160"/>
        <w:jc w:val="both"/>
        <w:rPr>
          <w:rFonts w:ascii="Aptos" w:hAnsi="Aptos" w:cstheme="minorHAnsi"/>
        </w:rPr>
      </w:pPr>
      <w:r w:rsidRPr="003C54D5">
        <w:rPr>
          <w:rFonts w:ascii="Aptos" w:hAnsi="Aptos" w:cstheme="minorHAnsi"/>
        </w:rPr>
        <w:t>Disclosure overload should be avoided. IFRS 18 paragraph 41 should be applied with discipline, and each disclosure should support user decision-making. The sensitivity analysis and tables should explain the position clearly, not bury it in excessive detail.</w:t>
      </w:r>
    </w:p>
    <w:p w14:paraId="7D7BD320" w14:textId="6FFEFC77" w:rsidR="003C54D5" w:rsidRDefault="003C54D5" w:rsidP="003C54D5">
      <w:pPr>
        <w:numPr>
          <w:ilvl w:val="0"/>
          <w:numId w:val="11"/>
        </w:numPr>
        <w:ind w:left="1418" w:right="1160"/>
        <w:jc w:val="both"/>
        <w:rPr>
          <w:rFonts w:ascii="Aptos" w:hAnsi="Aptos" w:cstheme="minorHAnsi"/>
        </w:rPr>
      </w:pPr>
      <w:r w:rsidRPr="003C54D5">
        <w:rPr>
          <w:rFonts w:ascii="Aptos" w:hAnsi="Aptos" w:cstheme="minorHAnsi"/>
        </w:rPr>
        <w:t>There is a risk of commercial sensitivity, as disclosures about strategy, mitigated rate, time bands, deposit assumptions, derivative profile, and average fixed rates under paragraph 30J may together reveal the entity’s A</w:t>
      </w:r>
      <w:r>
        <w:rPr>
          <w:rFonts w:ascii="Aptos" w:hAnsi="Aptos" w:cstheme="minorHAnsi"/>
        </w:rPr>
        <w:t xml:space="preserve">sset </w:t>
      </w:r>
      <w:r w:rsidRPr="003C54D5">
        <w:rPr>
          <w:rFonts w:ascii="Aptos" w:hAnsi="Aptos" w:cstheme="minorHAnsi"/>
        </w:rPr>
        <w:t>L</w:t>
      </w:r>
      <w:r>
        <w:rPr>
          <w:rFonts w:ascii="Aptos" w:hAnsi="Aptos" w:cstheme="minorHAnsi"/>
        </w:rPr>
        <w:t xml:space="preserve">iability </w:t>
      </w:r>
      <w:r w:rsidRPr="003C54D5">
        <w:rPr>
          <w:rFonts w:ascii="Aptos" w:hAnsi="Aptos" w:cstheme="minorHAnsi"/>
        </w:rPr>
        <w:t>M</w:t>
      </w:r>
      <w:r>
        <w:rPr>
          <w:rFonts w:ascii="Aptos" w:hAnsi="Aptos" w:cstheme="minorHAnsi"/>
        </w:rPr>
        <w:t xml:space="preserve">anagement </w:t>
      </w:r>
      <w:r w:rsidRPr="003C54D5">
        <w:rPr>
          <w:rFonts w:ascii="Aptos" w:hAnsi="Aptos" w:cstheme="minorHAnsi"/>
        </w:rPr>
        <w:t>positioning. The cross-reference permission in paragraph 30I should therefore be retained and expanded to confirm that cross-reference to regulatory disclosures, such as Pillar 3 disclosures, is acceptable where the required conditions are met. This would also help reduce duplication.</w:t>
      </w:r>
    </w:p>
    <w:p w14:paraId="19F88690" w14:textId="77777777" w:rsidR="003C54D5" w:rsidRDefault="003C54D5" w:rsidP="003C54D5">
      <w:pPr>
        <w:ind w:left="1418" w:right="1160"/>
        <w:jc w:val="both"/>
        <w:rPr>
          <w:rFonts w:ascii="Aptos" w:hAnsi="Aptos" w:cstheme="minorHAnsi"/>
        </w:rPr>
      </w:pPr>
      <w:r w:rsidRPr="003C54D5">
        <w:rPr>
          <w:rFonts w:ascii="Aptos" w:hAnsi="Aptos" w:cstheme="minorHAnsi"/>
        </w:rPr>
        <w:t>The non-applier disclosure under paragraph 33A is important because it supports comparability. However, it should remain proportionate, as choosing not to apply the model is a valid option.</w:t>
      </w:r>
    </w:p>
    <w:p w14:paraId="1F5D3C3C" w14:textId="6E4EFC28" w:rsidR="007C7D0B" w:rsidRPr="007C7D0B" w:rsidRDefault="007C7D0B" w:rsidP="004833DB">
      <w:pPr>
        <w:ind w:left="1276" w:right="1160"/>
        <w:jc w:val="both"/>
        <w:rPr>
          <w:rFonts w:ascii="Aptos" w:hAnsi="Aptos" w:cstheme="minorHAnsi"/>
        </w:rPr>
      </w:pPr>
    </w:p>
    <w:p w14:paraId="56DC87C3" w14:textId="7D34D6AC" w:rsidR="007C7D0B" w:rsidRPr="007C7D0B" w:rsidRDefault="007C7D0B" w:rsidP="004833DB">
      <w:pPr>
        <w:ind w:left="993" w:right="1160"/>
        <w:jc w:val="both"/>
        <w:rPr>
          <w:rFonts w:ascii="Aptos" w:hAnsi="Aptos" w:cstheme="minorHAnsi"/>
        </w:rPr>
      </w:pPr>
      <w:r w:rsidRPr="007C7D0B">
        <w:rPr>
          <w:rFonts w:ascii="Aptos" w:hAnsi="Aptos" w:cstheme="minorHAnsi"/>
          <w:b/>
          <w:bCs/>
        </w:rPr>
        <w:t xml:space="preserve">Q11 </w:t>
      </w:r>
      <w:r>
        <w:rPr>
          <w:rFonts w:ascii="Aptos" w:hAnsi="Aptos" w:cstheme="minorHAnsi"/>
          <w:b/>
          <w:bCs/>
        </w:rPr>
        <w:t>-</w:t>
      </w:r>
      <w:r w:rsidRPr="007C7D0B">
        <w:rPr>
          <w:rFonts w:ascii="Aptos" w:hAnsi="Aptos" w:cstheme="minorHAnsi"/>
          <w:b/>
          <w:bCs/>
        </w:rPr>
        <w:t xml:space="preserve"> Insurers (Question 11)</w:t>
      </w:r>
    </w:p>
    <w:p w14:paraId="728C4924" w14:textId="74ABDC08" w:rsidR="007C7D0B" w:rsidRPr="007C7D0B" w:rsidRDefault="00EE5443" w:rsidP="00EE5443">
      <w:pPr>
        <w:ind w:left="993" w:right="1160"/>
        <w:jc w:val="both"/>
        <w:rPr>
          <w:rFonts w:ascii="Aptos" w:hAnsi="Aptos" w:cstheme="minorHAnsi"/>
        </w:rPr>
      </w:pPr>
      <w:r w:rsidRPr="00EE5443">
        <w:rPr>
          <w:rFonts w:ascii="Aptos" w:hAnsi="Aptos" w:cstheme="minorHAnsi"/>
          <w:b/>
          <w:bCs/>
        </w:rPr>
        <w:t>Response</w:t>
      </w:r>
      <w:r w:rsidR="007C7D0B" w:rsidRPr="007C7D0B">
        <w:rPr>
          <w:rFonts w:ascii="Aptos" w:hAnsi="Aptos" w:cstheme="minorHAnsi"/>
        </w:rPr>
        <w:t>: No</w:t>
      </w:r>
      <w:r>
        <w:rPr>
          <w:rFonts w:ascii="Aptos" w:hAnsi="Aptos" w:cstheme="minorHAnsi"/>
        </w:rPr>
        <w:t xml:space="preserve"> Comment</w:t>
      </w:r>
    </w:p>
    <w:p w14:paraId="62E9F400" w14:textId="77777777" w:rsidR="00731134" w:rsidRPr="007C7D0B" w:rsidRDefault="00731134" w:rsidP="004833DB">
      <w:pPr>
        <w:ind w:left="1276" w:right="1160"/>
        <w:jc w:val="both"/>
        <w:rPr>
          <w:rFonts w:ascii="Aptos" w:hAnsi="Aptos" w:cstheme="minorHAnsi"/>
        </w:rPr>
      </w:pPr>
    </w:p>
    <w:sectPr w:rsidR="00731134" w:rsidRPr="007C7D0B" w:rsidSect="00870768">
      <w:pgSz w:w="11906" w:h="16838"/>
      <w:pgMar w:top="1440" w:right="57" w:bottom="1440" w:left="57" w:header="397" w:footer="51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166B6"/>
    <w:multiLevelType w:val="multilevel"/>
    <w:tmpl w:val="21589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F6B3F"/>
    <w:multiLevelType w:val="multilevel"/>
    <w:tmpl w:val="2A02F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FD48E5"/>
    <w:multiLevelType w:val="multilevel"/>
    <w:tmpl w:val="58F42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D13091"/>
    <w:multiLevelType w:val="multilevel"/>
    <w:tmpl w:val="D1C6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F63846"/>
    <w:multiLevelType w:val="multilevel"/>
    <w:tmpl w:val="2A7AD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F845D4"/>
    <w:multiLevelType w:val="multilevel"/>
    <w:tmpl w:val="16842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336CE4"/>
    <w:multiLevelType w:val="multilevel"/>
    <w:tmpl w:val="8D884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9E443B"/>
    <w:multiLevelType w:val="multilevel"/>
    <w:tmpl w:val="A0124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314B3D"/>
    <w:multiLevelType w:val="multilevel"/>
    <w:tmpl w:val="674E9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1634CE"/>
    <w:multiLevelType w:val="multilevel"/>
    <w:tmpl w:val="EC34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B35787"/>
    <w:multiLevelType w:val="multilevel"/>
    <w:tmpl w:val="36C6C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961C16"/>
    <w:multiLevelType w:val="multilevel"/>
    <w:tmpl w:val="7CAC7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9766520">
    <w:abstractNumId w:val="1"/>
  </w:num>
  <w:num w:numId="2" w16cid:durableId="48654004">
    <w:abstractNumId w:val="4"/>
  </w:num>
  <w:num w:numId="3" w16cid:durableId="3946202">
    <w:abstractNumId w:val="8"/>
  </w:num>
  <w:num w:numId="4" w16cid:durableId="289366092">
    <w:abstractNumId w:val="11"/>
  </w:num>
  <w:num w:numId="5" w16cid:durableId="1396708408">
    <w:abstractNumId w:val="0"/>
  </w:num>
  <w:num w:numId="6" w16cid:durableId="1997613183">
    <w:abstractNumId w:val="10"/>
  </w:num>
  <w:num w:numId="7" w16cid:durableId="729157366">
    <w:abstractNumId w:val="7"/>
  </w:num>
  <w:num w:numId="8" w16cid:durableId="1292323305">
    <w:abstractNumId w:val="3"/>
  </w:num>
  <w:num w:numId="9" w16cid:durableId="2052608243">
    <w:abstractNumId w:val="5"/>
  </w:num>
  <w:num w:numId="10" w16cid:durableId="437407324">
    <w:abstractNumId w:val="6"/>
  </w:num>
  <w:num w:numId="11" w16cid:durableId="1416125382">
    <w:abstractNumId w:val="9"/>
  </w:num>
  <w:num w:numId="12" w16cid:durableId="1529954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evenAndOddHeaders/>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D0B"/>
    <w:rsid w:val="000A6D0E"/>
    <w:rsid w:val="000B16AE"/>
    <w:rsid w:val="00260E52"/>
    <w:rsid w:val="00297B4E"/>
    <w:rsid w:val="002C7FAF"/>
    <w:rsid w:val="003C54D5"/>
    <w:rsid w:val="004833DB"/>
    <w:rsid w:val="006B1532"/>
    <w:rsid w:val="006B1C72"/>
    <w:rsid w:val="00731134"/>
    <w:rsid w:val="007C7D0B"/>
    <w:rsid w:val="008215F8"/>
    <w:rsid w:val="00870768"/>
    <w:rsid w:val="0095326B"/>
    <w:rsid w:val="00B86D81"/>
    <w:rsid w:val="00E277EA"/>
    <w:rsid w:val="00EE5443"/>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6C2C2"/>
  <w15:chartTrackingRefBased/>
  <w15:docId w15:val="{5A3D75AE-48EC-4097-A12C-4BE0A77F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D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C7D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C7D0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7D0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7D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7D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7D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7D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7D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D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C7D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C7D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7D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7D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7D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7D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7D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7D0B"/>
    <w:rPr>
      <w:rFonts w:eastAsiaTheme="majorEastAsia" w:cstheme="majorBidi"/>
      <w:color w:val="272727" w:themeColor="text1" w:themeTint="D8"/>
    </w:rPr>
  </w:style>
  <w:style w:type="paragraph" w:styleId="Title">
    <w:name w:val="Title"/>
    <w:basedOn w:val="Normal"/>
    <w:next w:val="Normal"/>
    <w:link w:val="TitleChar"/>
    <w:uiPriority w:val="10"/>
    <w:qFormat/>
    <w:rsid w:val="007C7D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7D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7D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7D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7D0B"/>
    <w:pPr>
      <w:spacing w:before="160"/>
      <w:jc w:val="center"/>
    </w:pPr>
    <w:rPr>
      <w:i/>
      <w:iCs/>
      <w:color w:val="404040" w:themeColor="text1" w:themeTint="BF"/>
    </w:rPr>
  </w:style>
  <w:style w:type="character" w:customStyle="1" w:styleId="QuoteChar">
    <w:name w:val="Quote Char"/>
    <w:basedOn w:val="DefaultParagraphFont"/>
    <w:link w:val="Quote"/>
    <w:uiPriority w:val="29"/>
    <w:rsid w:val="007C7D0B"/>
    <w:rPr>
      <w:i/>
      <w:iCs/>
      <w:color w:val="404040" w:themeColor="text1" w:themeTint="BF"/>
    </w:rPr>
  </w:style>
  <w:style w:type="paragraph" w:styleId="ListParagraph">
    <w:name w:val="List Paragraph"/>
    <w:basedOn w:val="Normal"/>
    <w:uiPriority w:val="34"/>
    <w:qFormat/>
    <w:rsid w:val="007C7D0B"/>
    <w:pPr>
      <w:ind w:left="720"/>
      <w:contextualSpacing/>
    </w:pPr>
  </w:style>
  <w:style w:type="character" w:styleId="IntenseEmphasis">
    <w:name w:val="Intense Emphasis"/>
    <w:basedOn w:val="DefaultParagraphFont"/>
    <w:uiPriority w:val="21"/>
    <w:qFormat/>
    <w:rsid w:val="007C7D0B"/>
    <w:rPr>
      <w:i/>
      <w:iCs/>
      <w:color w:val="2F5496" w:themeColor="accent1" w:themeShade="BF"/>
    </w:rPr>
  </w:style>
  <w:style w:type="paragraph" w:styleId="IntenseQuote">
    <w:name w:val="Intense Quote"/>
    <w:basedOn w:val="Normal"/>
    <w:next w:val="Normal"/>
    <w:link w:val="IntenseQuoteChar"/>
    <w:uiPriority w:val="30"/>
    <w:qFormat/>
    <w:rsid w:val="007C7D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7D0B"/>
    <w:rPr>
      <w:i/>
      <w:iCs/>
      <w:color w:val="2F5496" w:themeColor="accent1" w:themeShade="BF"/>
    </w:rPr>
  </w:style>
  <w:style w:type="character" w:styleId="IntenseReference">
    <w:name w:val="Intense Reference"/>
    <w:basedOn w:val="DefaultParagraphFont"/>
    <w:uiPriority w:val="32"/>
    <w:qFormat/>
    <w:rsid w:val="007C7D0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1579</Words>
  <Characters>9001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Salman Shaikh</dc:creator>
  <cp:keywords/>
  <dc:description/>
  <cp:lastModifiedBy>Salman Shaikh</cp:lastModifiedBy>
  <cp:revision>1</cp:revision>
  <dcterms:created xsi:type="dcterms:W3CDTF">2026-06-30T18:54:00Z</dcterms:created>
  <dcterms:modified xsi:type="dcterms:W3CDTF">2026-06-30T20:45:00Z</dcterms:modified>
</cp:coreProperties>
</file>